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B3B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0C0054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37C619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77197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C2D78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74384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申请行政复议示范文本</w:t>
      </w:r>
    </w:p>
    <w:p w14:paraId="45444C7D">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14:paraId="4D63B320">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ED61BD8">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1EA2989A">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8F231BE">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DDA79B7">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34A17B5">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CF0AD74">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A45D56E">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72BCF2C">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075F9D8">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1487BE91">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4F15397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6</w:t>
      </w:r>
      <w:r>
        <w:rPr>
          <w:rFonts w:hint="eastAsia" w:ascii="方正小标宋简体" w:hAnsi="方正小标宋简体" w:eastAsia="方正小标宋简体" w:cs="方正小标宋简体"/>
          <w:color w:val="000000"/>
          <w:sz w:val="32"/>
          <w:szCs w:val="32"/>
        </w:rPr>
        <w:t>年</w:t>
      </w:r>
      <w:r>
        <w:rPr>
          <w:rFonts w:hint="default" w:ascii="方正小标宋简体" w:hAnsi="方正小标宋简体" w:eastAsia="方正小标宋简体" w:cs="方正小标宋简体"/>
          <w:color w:val="000000"/>
          <w:sz w:val="32"/>
          <w:szCs w:val="32"/>
          <w:lang w:val="en" w:eastAsia="zh-CN"/>
        </w:rPr>
        <w:t>5</w:t>
      </w:r>
      <w:r>
        <w:rPr>
          <w:rFonts w:hint="eastAsia" w:ascii="方正小标宋简体" w:hAnsi="方正小标宋简体" w:eastAsia="方正小标宋简体" w:cs="方正小标宋简体"/>
          <w:color w:val="000000"/>
          <w:sz w:val="32"/>
          <w:szCs w:val="32"/>
        </w:rPr>
        <w:t>月</w:t>
      </w:r>
    </w:p>
    <w:p w14:paraId="6086A65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73302180">
      <w:pPr>
        <w:pStyle w:val="2"/>
        <w:keepNext w:val="0"/>
        <w:keepLines w:val="0"/>
        <w:pageBreakBefore w:val="0"/>
        <w:kinsoku/>
        <w:overflowPunct/>
        <w:topLinePunct w:val="0"/>
        <w:autoSpaceDE/>
        <w:autoSpaceDN/>
        <w:bidi w:val="0"/>
        <w:adjustRightInd/>
        <w:spacing w:line="600" w:lineRule="exact"/>
        <w:textAlignment w:val="auto"/>
      </w:pPr>
    </w:p>
    <w:p w14:paraId="1D0BCCB7">
      <w:pPr>
        <w:pStyle w:val="2"/>
        <w:keepNext w:val="0"/>
        <w:keepLines w:val="0"/>
        <w:pageBreakBefore w:val="0"/>
        <w:kinsoku/>
        <w:overflowPunct/>
        <w:topLinePunct w:val="0"/>
        <w:autoSpaceDE/>
        <w:autoSpaceDN/>
        <w:bidi w:val="0"/>
        <w:adjustRightInd/>
        <w:spacing w:line="600" w:lineRule="exact"/>
        <w:textAlignment w:val="auto"/>
      </w:pPr>
    </w:p>
    <w:p w14:paraId="6ECFB24C">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14:paraId="75B95D94">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64AC101B">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69D49F59">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14:paraId="4DF1C3AB">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2807869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为方便公民、法人或者其他组织申请行政复议，结合湖南省行政复议工作实际，制定了申请行政复议示范文本。示范文本涵盖申请行政复议、推荐代表人、授权委</w:t>
      </w:r>
      <w:bookmarkStart w:id="0" w:name="_GoBack"/>
      <w:bookmarkEnd w:id="0"/>
      <w:r>
        <w:rPr>
          <w:rFonts w:hint="eastAsia" w:ascii="仿宋_GB2312" w:hAnsi="仿宋_GB2312" w:eastAsia="仿宋_GB2312" w:cs="仿宋_GB2312"/>
          <w:color w:val="auto"/>
          <w:sz w:val="32"/>
          <w:szCs w:val="32"/>
          <w:lang w:val="en-US" w:eastAsia="zh-CN"/>
        </w:rPr>
        <w:t>托、撤回行政复议申请、阅卷、听证、和解等环节需要提交的各类行政复议文书，供申请人及第三人在申请行政复议、参与行政复议办案活动时参照使用。</w:t>
      </w:r>
    </w:p>
    <w:p w14:paraId="38CB690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6CF8A68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6FA3DFB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13523B5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57B3B63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51EAB02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6ED706B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24E35553">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6F01EC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10B569A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3B0DB53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14:paraId="02E179F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14FC84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14:paraId="406A20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14:paraId="690EA3AE">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14:paraId="40BEEF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14:paraId="18CCE0E5">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14:paraId="35C6B5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14:paraId="3F321B0F">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14:paraId="1707874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14:paraId="46EDCF5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14:paraId="22DC54D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14:paraId="662520A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14:paraId="0018C95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14:paraId="085D899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14:paraId="4E23185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14:paraId="00F048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14:paraId="70F72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14:paraId="4EB428B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14:paraId="393006F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14:paraId="6EC4755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14:paraId="259A67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2B01B8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6BFFD2E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14:paraId="2D1566C6">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14:paraId="39C7BA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2CF2119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0C2CD49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40B8CFD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0C57626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169E5B4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6EC3D3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6F24190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6E828F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03E3A3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346989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448E0D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0A8075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14:paraId="637A8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14:paraId="0BFA90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45933EC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608C9B7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5DBAECFC">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59B8F0C5">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7551887A">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58CFD69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0EC6712">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0F4996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005EA613">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7B04808">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27FA9237">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5C53D93F">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14:paraId="560C2140">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3F223713">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0771A92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112246B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41D2875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614CF37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0849569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54C4C86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0AC6584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198393B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51846D8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6F29A5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294A26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14:paraId="2044CD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14:paraId="3AEB4F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187EF3C5">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08E053BC">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14:paraId="563B480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8299272">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684554A0">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4BD6D8D6">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741DA71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31F009C2">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716788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8A26183">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1CA405D">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14:paraId="0A7504C8">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38A9B302">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6EC2EF6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0C8CDFB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3A55C12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4F2FDF1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576067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044067C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294ED04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74BF9CF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F3F8A7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15AC3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355C0E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14:paraId="0996C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14:paraId="53660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3F42AEAB">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562382F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132C55B1">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4002497C">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1E02792">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36BEF36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32A89E1E">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47D39F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484AE58C">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14:paraId="1809D908">
      <w:pPr>
        <w:pStyle w:val="2"/>
        <w:rPr>
          <w:rFonts w:hint="eastAsia" w:ascii="方正小标宋_GBK" w:hAnsi="方正小标宋_GBK" w:eastAsia="方正小标宋_GBK" w:cs="方正小标宋_GBK"/>
          <w:b w:val="0"/>
          <w:bCs w:val="0"/>
          <w:sz w:val="36"/>
          <w:szCs w:val="36"/>
        </w:rPr>
      </w:pPr>
    </w:p>
    <w:p w14:paraId="6BBF0686">
      <w:pPr>
        <w:pStyle w:val="2"/>
        <w:rPr>
          <w:rFonts w:hint="eastAsia" w:ascii="方正小标宋_GBK" w:hAnsi="方正小标宋_GBK" w:eastAsia="方正小标宋_GBK" w:cs="方正小标宋_GBK"/>
          <w:b w:val="0"/>
          <w:bCs w:val="0"/>
          <w:sz w:val="36"/>
          <w:szCs w:val="36"/>
        </w:rPr>
      </w:pPr>
    </w:p>
    <w:p w14:paraId="63772450">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14:paraId="6AFE2F5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14:paraId="146EA9F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14:paraId="198FF9F8">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14:paraId="340644D2">
      <w:pPr>
        <w:pStyle w:val="2"/>
        <w:keepNext w:val="0"/>
        <w:keepLines w:val="0"/>
        <w:pageBreakBefore w:val="0"/>
        <w:kinsoku/>
        <w:overflowPunct/>
        <w:topLinePunct w:val="0"/>
        <w:autoSpaceDE/>
        <w:autoSpaceDN/>
        <w:bidi w:val="0"/>
        <w:adjustRightInd/>
        <w:spacing w:line="600" w:lineRule="exact"/>
        <w:textAlignment w:val="auto"/>
      </w:pPr>
    </w:p>
    <w:p w14:paraId="34C7B83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14:paraId="7ACF42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14:paraId="432F78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5CBA46C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14:paraId="0379597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632444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14:paraId="7299595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14:paraId="75B2849C">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14:paraId="3B485CAA">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14:paraId="2A43B2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75F1B7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14:paraId="4BFA8C8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14:paraId="2DB9CC68">
      <w:pPr>
        <w:pStyle w:val="2"/>
        <w:rPr>
          <w:rFonts w:hint="eastAsia" w:ascii="宋体" w:hAnsi="宋体" w:eastAsia="宋体" w:cs="宋体"/>
          <w:sz w:val="44"/>
          <w:szCs w:val="44"/>
          <w:lang w:val="en-US" w:eastAsia="zh-CN"/>
        </w:rPr>
      </w:pPr>
    </w:p>
    <w:p w14:paraId="753A7A06">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14:paraId="0AEE2E83">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14:paraId="008CCC9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14:paraId="5FEC0C19">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14:paraId="07AC1B5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14:paraId="36A52FC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14:paraId="674B7BA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14:paraId="373D8DD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3BF2484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7B6A654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50D3E39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1335A0D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2754CFD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14:paraId="7A749F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14:paraId="19C96F80">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14:paraId="3A1C21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3A56758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77CE91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14:paraId="60C583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3DE2AADA">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2AE90E58">
      <w:pPr>
        <w:pStyle w:val="2"/>
        <w:keepNext w:val="0"/>
        <w:keepLines w:val="0"/>
        <w:pageBreakBefore w:val="0"/>
        <w:kinsoku/>
        <w:overflowPunct/>
        <w:topLinePunct w:val="0"/>
        <w:autoSpaceDE/>
        <w:autoSpaceDN/>
        <w:bidi w:val="0"/>
        <w:adjustRightInd/>
        <w:spacing w:line="600" w:lineRule="exact"/>
        <w:textAlignment w:val="auto"/>
        <w:rPr>
          <w:rFonts w:hint="default"/>
        </w:rPr>
      </w:pPr>
    </w:p>
    <w:p w14:paraId="70C7C95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14:paraId="0246AFE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14:paraId="2B7833D5">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CA25B7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1CC2B7F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14:paraId="50311CF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14:paraId="4438EAE3"/>
    <w:p w14:paraId="586DBF6A">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1F585B1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54B8F9EA">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2023AF29">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3FA0656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7F4B01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2EC8EF0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65573E4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ABA7FB9">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062AC24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14:paraId="404B76A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6FB3F2A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14:paraId="5C3151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32C25C23">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14:paraId="5D8FA9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14:paraId="67A565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14:paraId="115E34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14:paraId="5DF9D68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1E1B84B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14:paraId="5CD3DD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14:paraId="589532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092765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624085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C5A087B">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AC308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78BE8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14:paraId="1E63066B">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3052B8D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4DE6866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AFA1500">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4CE28D0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14:paraId="18EC4B9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14:paraId="5205780B">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14:paraId="3B48CCAC">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0FA97A84">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14:paraId="407935AA">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14:paraId="06422248">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14:paraId="561FAA11">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14:paraId="6C74682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14:paraId="41F724A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78A5B53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00F8B93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14:paraId="4AF560E3">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84DBD2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3934CE4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14:paraId="228E742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033C26A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14:paraId="3AA3E56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35822B21">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11AFA88">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CE86A7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772FBA2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C64C615">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0B402A0">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979C811">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19B68F8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14:paraId="1C1311C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14:paraId="1EF87278">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14:paraId="021A65B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14:paraId="26F081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14:paraId="1AA0712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27437A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14:paraId="6F790E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0B727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1EF078E3">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14:paraId="6D0E2434">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14:paraId="2CEA4E96">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14:paraId="2D66F0FC">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097EC563">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5F27F6B0">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61515625">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101B95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584DDE5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56DEF8B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68750C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22CA623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FA9186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3029550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14:paraId="523A18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14:paraId="20589F8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14:paraId="508684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14:paraId="25D214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14:paraId="2747D7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5BA646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3FE4FE1B">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14:paraId="45D73E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33E98E08">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10724E89">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FF3ACA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8DEF7C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D68D85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958209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0636F4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21885B7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14:paraId="58BF406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14:paraId="5AF630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14:paraId="473617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14:paraId="6A6D9C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1866CB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14:paraId="15D073FE">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14:paraId="4D620DC7">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7D85CC60">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B5773FE">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3E1C6B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9D46C3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BDD9E0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59E9F0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53EB4D1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4A0879F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14:paraId="495B5DE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14:paraId="1359EB7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14:paraId="722FD71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14:paraId="34205E0A">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14:paraId="15FBAF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00F560E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14:paraId="72F38D1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400BFED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61D0EEA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14:paraId="2118A4F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28E33990">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487B7A63">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14:paraId="67DE3A7C">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14:paraId="49B0BF3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14:paraId="2689329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2BBF094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14:paraId="7C9CC117">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14:paraId="5EA536D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14:paraId="5DE393F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14:paraId="5E434B6F">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14:paraId="6050D3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75DD16F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14:paraId="437844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7190D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14:paraId="5120D8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14:paraId="65613D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1C22E211">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3CA8B8BB">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57152865">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267EA0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B4F1533">
      <w:pPr>
        <w:pStyle w:val="2"/>
        <w:rPr>
          <w:rFonts w:hint="eastAsia" w:ascii="仿宋_GB2312" w:hAnsi="仿宋_GB2312" w:eastAsia="仿宋_GB2312" w:cs="仿宋_GB2312"/>
          <w:sz w:val="32"/>
          <w:szCs w:val="32"/>
          <w:u w:val="none"/>
          <w:lang w:val="en-US" w:eastAsia="zh-CN"/>
        </w:rPr>
      </w:pPr>
    </w:p>
    <w:p w14:paraId="120A3CE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86F5A5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14:paraId="4E9DC5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14:paraId="28B5C87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0592C4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14:paraId="663B88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3E5D638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57A1761A">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14:paraId="2ECA3B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4004EFB6">
      <w:pPr>
        <w:pStyle w:val="2"/>
        <w:keepNext w:val="0"/>
        <w:keepLines w:val="0"/>
        <w:pageBreakBefore w:val="0"/>
        <w:kinsoku/>
        <w:overflowPunct/>
        <w:topLinePunct w:val="0"/>
        <w:autoSpaceDE/>
        <w:autoSpaceDN/>
        <w:bidi w:val="0"/>
        <w:adjustRightInd/>
        <w:spacing w:line="600" w:lineRule="exact"/>
        <w:textAlignment w:val="auto"/>
        <w:rPr>
          <w:rFonts w:hint="eastAsia"/>
        </w:rPr>
      </w:pPr>
    </w:p>
    <w:p w14:paraId="106DFE57">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14:paraId="6DB0B3CE">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3322BFC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8D2A7E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3B807A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252E36D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6A90659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14:paraId="01E6691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14:paraId="1BD75B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14:paraId="18EB61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14:paraId="6A26CF6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7148B4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0F64E53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74669DF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556E455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4F6E836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4033BE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63FF553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14:paraId="35A2F1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302387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14:paraId="4AB28704">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03C071D6">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14:paraId="3C321602">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14:paraId="5086EFB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14:paraId="4BC78C9E">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2BF5A470">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14:paraId="0D75AEA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67F7ED2">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11B32F2D">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14:paraId="282333B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3363A1D4">
      <w:pPr>
        <w:pStyle w:val="2"/>
        <w:rPr>
          <w:rFonts w:hint="eastAsia"/>
          <w:lang w:val="en-US" w:eastAsia="zh-CN"/>
        </w:rPr>
      </w:pPr>
    </w:p>
    <w:p w14:paraId="1A62100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14:paraId="7597BC6D">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437B7DB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14:paraId="4BEDD4E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07B1B10C">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1FC4324E">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135019D4">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4F5385DF">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7C9332D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426479E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14:paraId="7BB8820F">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14:paraId="00054B34">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79D87D2E">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14:paraId="7ACC071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14:paraId="66A1B4F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14:paraId="61BB0A50">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14:paraId="1E407F4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2EDBBB8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59C99A3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52A5A5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3F143D2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73712F7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3898751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2212EC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14:paraId="351E3D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14:paraId="0B4443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14:paraId="49CDC11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85D42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04337132">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14:paraId="59FB021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14:paraId="6B17A9F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05CF25D4">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14:paraId="4410EB73">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14:paraId="4CA2212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14:paraId="520AB0D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2FB3E44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4D2774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06266F4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69CB225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9FF8E3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CF200D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A199B5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3AAB6A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5E28D8B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14902D5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4BFF2E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14:paraId="7C4A43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BA7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3CC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2A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0495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B0495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97AF1D"/>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01217E"/>
    <w:rsid w:val="65BFC7F4"/>
    <w:rsid w:val="67EF46B9"/>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D92AFD"/>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CB01E0"/>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DDC103"/>
    <w:rsid w:val="DFF793CF"/>
    <w:rsid w:val="DFFDEDC9"/>
    <w:rsid w:val="DFFEBD39"/>
    <w:rsid w:val="E3F79FFC"/>
    <w:rsid w:val="E3FEA6BD"/>
    <w:rsid w:val="E57CD317"/>
    <w:rsid w:val="E57F5D96"/>
    <w:rsid w:val="E7DB0370"/>
    <w:rsid w:val="E7F77DC4"/>
    <w:rsid w:val="E7FD0AA6"/>
    <w:rsid w:val="EB8DA005"/>
    <w:rsid w:val="EB8E829B"/>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1AE90"/>
    <w:rsid w:val="FFF56532"/>
    <w:rsid w:val="FFFA58E8"/>
    <w:rsid w:val="FFFAA6A6"/>
    <w:rsid w:val="FFFB5693"/>
    <w:rsid w:val="FFFD0DA5"/>
    <w:rsid w:val="FFFE57D2"/>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6624</Words>
  <Characters>7133</Characters>
  <Lines>0</Lines>
  <Paragraphs>0</Paragraphs>
  <TotalTime>49</TotalTime>
  <ScaleCrop>false</ScaleCrop>
  <LinksUpToDate>false</LinksUpToDate>
  <CharactersWithSpaces>8298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Pigger</cp:lastModifiedBy>
  <cp:lastPrinted>2025-06-02T09:30:00Z</cp:lastPrinted>
  <dcterms:modified xsi:type="dcterms:W3CDTF">2026-05-22T07:36:35Z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4E5D2A942AC14E6496D3DB1EEB4D8864_13</vt:lpwstr>
  </property>
  <property fmtid="{D5CDD505-2E9C-101B-9397-08002B2CF9AE}" pid="4" name="KSOTemplateDocerSaveRecord">
    <vt:lpwstr>eyJoZGlkIjoiNTAxMjk2OTEzMGNjM2IxMjIwNmVjMjIxOTI5ZDQyY2MiLCJ1c2VySWQiOiI4ODc0NzUzOTEifQ==</vt:lpwstr>
  </property>
</Properties>
</file>