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firstLineChars="0"/>
        <w:jc w:val="left"/>
        <w:rPr>
          <w:rFonts w:hint="eastAsia" w:asciiTheme="majorEastAsia" w:hAnsiTheme="majorEastAsia" w:eastAsiaTheme="majorEastAsia"/>
          <w:b w:val="0"/>
          <w:bCs w:val="0"/>
          <w:sz w:val="28"/>
          <w:szCs w:val="28"/>
          <w:lang w:val="en-US" w:eastAsia="zh-CN"/>
        </w:rPr>
      </w:pPr>
      <w:r>
        <w:rPr>
          <w:rFonts w:hint="eastAsia" w:asciiTheme="majorEastAsia" w:hAnsiTheme="majorEastAsia" w:eastAsiaTheme="majorEastAsia"/>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湖南省司法厅挂点联系武冈市新时代文明实践中心</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建设帮扶清单</w:t>
      </w:r>
    </w:p>
    <w:tbl>
      <w:tblPr>
        <w:tblStyle w:val="4"/>
        <w:tblpPr w:leftFromText="180" w:rightFromText="180" w:vertAnchor="text" w:horzAnchor="page" w:tblpX="1290" w:tblpY="487"/>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73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heme="majorEastAsia" w:hAnsiTheme="majorEastAsia" w:eastAsiaTheme="majorEastAsia"/>
                <w:b/>
                <w:bCs/>
                <w:sz w:val="24"/>
                <w:szCs w:val="24"/>
                <w:vertAlign w:val="baseline"/>
                <w:lang w:val="en-US" w:eastAsia="zh-CN"/>
              </w:rPr>
            </w:pPr>
            <w:r>
              <w:rPr>
                <w:rFonts w:hint="eastAsia" w:asciiTheme="majorEastAsia" w:hAnsiTheme="majorEastAsia" w:eastAsiaTheme="majorEastAsia"/>
                <w:b/>
                <w:bCs/>
                <w:sz w:val="24"/>
                <w:szCs w:val="24"/>
                <w:vertAlign w:val="baseline"/>
                <w:lang w:val="en-US" w:eastAsia="zh-CN"/>
              </w:rPr>
              <w:t>序号</w:t>
            </w:r>
          </w:p>
        </w:tc>
        <w:tc>
          <w:tcPr>
            <w:tcW w:w="673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heme="majorEastAsia" w:hAnsiTheme="majorEastAsia" w:eastAsiaTheme="majorEastAsia"/>
                <w:b/>
                <w:bCs/>
                <w:sz w:val="24"/>
                <w:szCs w:val="24"/>
                <w:vertAlign w:val="baseline"/>
                <w:lang w:val="en-US" w:eastAsia="zh-CN"/>
              </w:rPr>
            </w:pPr>
            <w:r>
              <w:rPr>
                <w:rFonts w:hint="eastAsia" w:asciiTheme="majorEastAsia" w:hAnsiTheme="majorEastAsia" w:eastAsiaTheme="majorEastAsia"/>
                <w:b/>
                <w:bCs/>
                <w:sz w:val="24"/>
                <w:szCs w:val="24"/>
                <w:vertAlign w:val="baseline"/>
                <w:lang w:val="en-US" w:eastAsia="zh-CN"/>
              </w:rPr>
              <w:t>帮扶内容</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heme="majorEastAsia" w:hAnsiTheme="majorEastAsia" w:eastAsiaTheme="majorEastAsia"/>
                <w:b/>
                <w:bCs/>
                <w:sz w:val="24"/>
                <w:szCs w:val="24"/>
                <w:vertAlign w:val="baseline"/>
                <w:lang w:val="en-US" w:eastAsia="zh-CN"/>
              </w:rPr>
            </w:pPr>
            <w:r>
              <w:rPr>
                <w:rFonts w:hint="eastAsia" w:asciiTheme="majorEastAsia" w:hAnsiTheme="majorEastAsia" w:eastAsiaTheme="majorEastAsia"/>
                <w:b/>
                <w:bCs/>
                <w:sz w:val="24"/>
                <w:szCs w:val="24"/>
                <w:vertAlign w:val="baseline"/>
                <w:lang w:val="en-US" w:eastAsia="zh-CN"/>
              </w:rPr>
              <w:t>责任单位</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heme="majorEastAsia" w:hAnsiTheme="majorEastAsia" w:eastAsiaTheme="majorEastAsia"/>
                <w:b/>
                <w:bCs/>
                <w:sz w:val="24"/>
                <w:szCs w:val="24"/>
                <w:vertAlign w:val="baseline"/>
                <w:lang w:val="en-US" w:eastAsia="zh-CN"/>
              </w:rPr>
            </w:pPr>
            <w:r>
              <w:rPr>
                <w:rFonts w:hint="eastAsia" w:asciiTheme="majorEastAsia" w:hAnsiTheme="majorEastAsia" w:eastAsiaTheme="majorEastAsia"/>
                <w:b/>
                <w:bCs/>
                <w:sz w:val="24"/>
                <w:szCs w:val="24"/>
                <w:vertAlign w:val="baseline"/>
                <w:lang w:val="en-US" w:eastAsia="zh-CN"/>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heme="majorEastAsia" w:hAnsiTheme="majorEastAsia" w:eastAsiaTheme="majorEastAsia"/>
                <w:b/>
                <w:bCs/>
                <w:sz w:val="22"/>
                <w:szCs w:val="22"/>
                <w:vertAlign w:val="baseline"/>
                <w:lang w:val="en-US" w:eastAsia="zh-CN"/>
              </w:rPr>
            </w:pP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r>
              <w:rPr>
                <w:rFonts w:hint="eastAsia" w:ascii="仿宋_GB2312" w:hAnsi="Times New Roman" w:eastAsia="仿宋_GB2312"/>
                <w:sz w:val="24"/>
                <w:szCs w:val="24"/>
                <w:lang w:eastAsia="zh-CN"/>
              </w:rPr>
              <w:t>指导开展“送法下乡”、</w:t>
            </w:r>
            <w:r>
              <w:rPr>
                <w:rFonts w:hint="eastAsia" w:ascii="仿宋_GB2312" w:hAnsi="Times New Roman" w:eastAsia="仿宋_GB2312"/>
                <w:sz w:val="24"/>
                <w:szCs w:val="24"/>
                <w:lang w:val="en-US" w:eastAsia="zh-CN"/>
              </w:rPr>
              <w:t>农村法治宣传教育月</w:t>
            </w:r>
            <w:r>
              <w:rPr>
                <w:rFonts w:hint="eastAsia" w:ascii="仿宋_GB2312" w:eastAsia="仿宋_GB2312"/>
                <w:sz w:val="24"/>
                <w:szCs w:val="24"/>
                <w:lang w:val="en-US" w:eastAsia="zh-CN"/>
              </w:rPr>
              <w:t>、宪法宣传周、青少年法治宣传教育周</w:t>
            </w:r>
            <w:r>
              <w:rPr>
                <w:rFonts w:hint="eastAsia" w:ascii="仿宋_GB2312" w:hAnsi="Times New Roman" w:eastAsia="仿宋_GB2312"/>
                <w:sz w:val="24"/>
                <w:szCs w:val="24"/>
                <w:lang w:val="en-US" w:eastAsia="zh-CN"/>
              </w:rPr>
              <w:t>等普法宣传活动。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eastAsia" w:eastAsia="仿宋_GB2312" w:asciiTheme="majorEastAsia" w:hAnsiTheme="majorEastAsia"/>
                <w:b/>
                <w:bCs/>
                <w:sz w:val="24"/>
                <w:szCs w:val="24"/>
                <w:vertAlign w:val="baseline"/>
                <w:lang w:val="en-US" w:eastAsia="zh-CN"/>
              </w:rPr>
            </w:pPr>
            <w:r>
              <w:rPr>
                <w:rFonts w:hint="eastAsia" w:ascii="仿宋_GB2312" w:hAnsi="Times New Roman" w:eastAsia="仿宋_GB2312"/>
                <w:sz w:val="24"/>
                <w:szCs w:val="24"/>
                <w:lang w:val="en-US" w:eastAsia="zh-CN"/>
              </w:rPr>
              <w:t>2.指导</w:t>
            </w:r>
            <w:r>
              <w:rPr>
                <w:rFonts w:hint="default" w:ascii="仿宋_GB2312" w:hAnsi="Times New Roman" w:eastAsia="仿宋_GB2312"/>
                <w:sz w:val="24"/>
                <w:szCs w:val="24"/>
                <w:lang w:val="en" w:eastAsia="zh-CN"/>
              </w:rPr>
              <w:t>支持武冈市邓元泰镇黄茅村创建全国</w:t>
            </w:r>
            <w:r>
              <w:rPr>
                <w:rFonts w:hint="eastAsia" w:ascii="仿宋_GB2312" w:hAnsi="Times New Roman" w:eastAsia="仿宋_GB2312"/>
                <w:sz w:val="24"/>
                <w:szCs w:val="24"/>
                <w:lang w:val="en-US" w:eastAsia="zh-CN"/>
              </w:rPr>
              <w:t>民主法治示范村，</w:t>
            </w:r>
            <w:r>
              <w:rPr>
                <w:rFonts w:hint="default" w:ascii="仿宋_GB2312" w:hAnsi="Times New Roman" w:eastAsia="仿宋_GB2312"/>
                <w:sz w:val="24"/>
                <w:szCs w:val="24"/>
                <w:lang w:val="en" w:eastAsia="zh-CN"/>
              </w:rPr>
              <w:t>推动黄</w:t>
            </w:r>
            <w:r>
              <w:rPr>
                <w:rFonts w:hint="eastAsia" w:ascii="仿宋_GB2312" w:hAnsi="Times New Roman" w:eastAsia="仿宋_GB2312"/>
                <w:sz w:val="24"/>
                <w:szCs w:val="24"/>
                <w:lang w:val="en" w:eastAsia="zh-CN"/>
              </w:rPr>
              <w:t>茅</w:t>
            </w:r>
            <w:r>
              <w:rPr>
                <w:rFonts w:hint="default" w:ascii="仿宋_GB2312" w:hAnsi="Times New Roman" w:eastAsia="仿宋_GB2312"/>
                <w:sz w:val="24"/>
                <w:szCs w:val="24"/>
                <w:lang w:val="en" w:eastAsia="zh-CN"/>
              </w:rPr>
              <w:t>村法治文化广场建设</w:t>
            </w:r>
            <w:r>
              <w:rPr>
                <w:rFonts w:hint="eastAsia" w:ascii="仿宋_GB2312" w:hAnsi="Times New Roman" w:eastAsia="仿宋_GB2312"/>
                <w:sz w:val="24"/>
                <w:szCs w:val="24"/>
                <w:lang w:val="en" w:eastAsia="zh-CN"/>
              </w:rPr>
              <w:t>。</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 w:eastAsia="zh-CN"/>
              </w:rPr>
              <w:t>厅普法处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2</w:t>
            </w:r>
          </w:p>
        </w:tc>
        <w:tc>
          <w:tcPr>
            <w:tcW w:w="67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1.</w:t>
            </w:r>
            <w:r>
              <w:rPr>
                <w:rFonts w:hint="eastAsia" w:ascii="仿宋_GB2312" w:eastAsia="仿宋_GB2312"/>
                <w:sz w:val="24"/>
                <w:szCs w:val="24"/>
                <w:lang w:eastAsia="zh-CN"/>
              </w:rPr>
              <w:t>加强社区矫正中心和智慧矫正一体化平台的运行管理，制定社区矫正权责清单，加强执法队伍建设，争取资金支持，指导武冈市创建社区矫正规范执法示范点。</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left"/>
              <w:textAlignment w:val="auto"/>
              <w:rPr>
                <w:rFonts w:hint="default" w:asciiTheme="majorEastAsia" w:hAnsiTheme="majorEastAsia" w:eastAsiaTheme="majorEastAsia"/>
                <w:b/>
                <w:bCs/>
                <w:sz w:val="24"/>
                <w:szCs w:val="24"/>
                <w:vertAlign w:val="baseline"/>
                <w:lang w:val="en-US" w:eastAsia="zh-CN"/>
              </w:rPr>
            </w:pPr>
            <w:r>
              <w:rPr>
                <w:rFonts w:hint="eastAsia" w:ascii="仿宋_GB2312" w:eastAsia="仿宋_GB2312"/>
                <w:sz w:val="24"/>
                <w:szCs w:val="24"/>
                <w:lang w:val="en-US" w:eastAsia="zh-CN"/>
              </w:rPr>
              <w:t>2.</w:t>
            </w:r>
            <w:r>
              <w:rPr>
                <w:rFonts w:hint="eastAsia" w:ascii="仿宋_GB2312" w:eastAsia="仿宋_GB2312"/>
                <w:sz w:val="24"/>
                <w:szCs w:val="24"/>
                <w:lang w:eastAsia="zh-CN"/>
              </w:rPr>
              <w:t>深度实施“情暖高墙</w:t>
            </w:r>
            <w:r>
              <w:rPr>
                <w:rFonts w:hint="eastAsia" w:ascii="仿宋_GB2312" w:eastAsia="仿宋_GB2312"/>
                <w:sz w:val="24"/>
                <w:szCs w:val="24"/>
                <w:lang w:val="en-US" w:eastAsia="zh-CN"/>
              </w:rPr>
              <w:t>·关爱孩子</w:t>
            </w:r>
            <w:r>
              <w:rPr>
                <w:rFonts w:hint="eastAsia" w:ascii="仿宋_GB2312" w:eastAsia="仿宋_GB2312"/>
                <w:sz w:val="24"/>
                <w:szCs w:val="24"/>
                <w:lang w:eastAsia="zh-CN"/>
              </w:rPr>
              <w:t>”志愿帮扶，组织监狱干警、司法行政干部、志愿者组成帮扶小组，深入乡镇、村（居）走访慰问。</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厅社矫处</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省监狱局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3</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1.指导开展司法所工作人员轮训，建立并实施市级司法行政机关班子成员联系司法所制度。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default" w:eastAsia="仿宋_GB2312" w:asciiTheme="majorEastAsia" w:hAnsiTheme="majorEastAsia"/>
                <w:b/>
                <w:bCs/>
                <w:sz w:val="24"/>
                <w:szCs w:val="24"/>
                <w:vertAlign w:val="baseline"/>
                <w:lang w:val="en-US" w:eastAsia="zh-CN"/>
              </w:rPr>
            </w:pPr>
            <w:r>
              <w:rPr>
                <w:rFonts w:hint="eastAsia" w:ascii="仿宋_GB2312" w:eastAsia="仿宋_GB2312"/>
                <w:sz w:val="24"/>
                <w:szCs w:val="24"/>
                <w:lang w:val="en-US" w:eastAsia="zh-CN"/>
              </w:rPr>
              <w:t>2.全面加强村（社区）人民调解委员会和行业性、专业性人民调解委员会组织、队伍、业务和基础设施建设，指导开展“调解促稳定·喜迎二十大”矛盾纠纷排查化解专项活动。</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厅促进</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法治处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4</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1.在武冈市邓元泰镇黄茅村开展“乡村振兴·法治同行”活动，协助做好法治乡村示范点创建工作。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2.推进武冈市法律援助中心规范化建设，建立联点指导制度，打造示范性机构。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3.协助建立公共法律服务工作室，建成全市首个农村法律援助工作志愿服务站，建立1000多个“法润民生”微信群，基本实现公共法律服务“零距离”。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4.指导组建“法润武冈·与法同行”志愿服务队，深入乡镇、村（居）开展法治宣传、法律援助、法律咨询等公益便民服务，推动志愿服务向基层延伸，满足人民群众的法治需求。</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厅公服处</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省法援中心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5</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r>
              <w:rPr>
                <w:rFonts w:hint="eastAsia" w:ascii="仿宋_GB2312" w:eastAsia="仿宋_GB2312"/>
                <w:sz w:val="24"/>
                <w:szCs w:val="24"/>
                <w:lang w:val="en-US" w:eastAsia="zh-CN"/>
              </w:rPr>
              <w:t>协助</w:t>
            </w:r>
            <w:r>
              <w:rPr>
                <w:rFonts w:hint="eastAsia" w:ascii="仿宋_GB2312" w:hAnsi="Times New Roman" w:eastAsia="仿宋_GB2312"/>
                <w:sz w:val="24"/>
                <w:szCs w:val="24"/>
                <w:lang w:val="en-US" w:eastAsia="zh-CN"/>
              </w:rPr>
              <w:t>开展“法治村（</w:t>
            </w:r>
            <w:r>
              <w:rPr>
                <w:rFonts w:hint="eastAsia" w:ascii="仿宋_GB2312" w:eastAsia="仿宋_GB2312"/>
                <w:sz w:val="24"/>
                <w:szCs w:val="24"/>
                <w:lang w:val="en-US" w:eastAsia="zh-CN"/>
              </w:rPr>
              <w:t>社区</w:t>
            </w:r>
            <w:r>
              <w:rPr>
                <w:rFonts w:hint="eastAsia" w:ascii="仿宋_GB2312" w:hAnsi="Times New Roman" w:eastAsia="仿宋_GB2312"/>
                <w:sz w:val="24"/>
                <w:szCs w:val="24"/>
                <w:lang w:val="en-US" w:eastAsia="zh-CN"/>
              </w:rPr>
              <w:t>）建设指导标准研究”课题研究，开展“五个一”和“100+100党支部结对”等活动，帮助村（社区）清理修订村规民约、化解基层矛盾纠纷，推动以案释法普法宣传机制向乡村延伸。</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eastAsia" w:ascii="仿宋_GB2312" w:hAnsi="Times New Roman" w:eastAsia="仿宋_GB2312"/>
                <w:sz w:val="24"/>
                <w:szCs w:val="24"/>
                <w:lang w:val="en-US" w:eastAsia="zh-CN"/>
              </w:rPr>
            </w:pPr>
            <w:r>
              <w:rPr>
                <w:rFonts w:hint="eastAsia" w:ascii="仿宋_GB2312" w:eastAsia="仿宋_GB2312"/>
                <w:sz w:val="24"/>
                <w:szCs w:val="24"/>
                <w:lang w:val="en-US" w:eastAsia="zh-CN"/>
              </w:rPr>
              <w:t>2</w:t>
            </w:r>
            <w:r>
              <w:rPr>
                <w:rFonts w:hint="eastAsia" w:ascii="仿宋_GB2312" w:hAnsi="Times New Roman" w:eastAsia="仿宋_GB2312"/>
                <w:sz w:val="24"/>
                <w:szCs w:val="24"/>
                <w:lang w:val="en-US" w:eastAsia="zh-CN"/>
              </w:rPr>
              <w:t>.指导武冈市18个乡镇（办事处）、315个村（社区）实现法律顾问工作全覆盖</w:t>
            </w:r>
            <w:r>
              <w:rPr>
                <w:rFonts w:hint="eastAsia" w:ascii="仿宋_GB2312" w:eastAsia="仿宋_GB2312"/>
                <w:sz w:val="24"/>
                <w:szCs w:val="24"/>
                <w:lang w:val="en-US" w:eastAsia="zh-CN"/>
              </w:rPr>
              <w:t>，</w:t>
            </w:r>
            <w:r>
              <w:rPr>
                <w:rFonts w:hint="eastAsia" w:ascii="仿宋_GB2312" w:hAnsi="Times New Roman" w:eastAsia="仿宋_GB2312"/>
                <w:sz w:val="24"/>
                <w:szCs w:val="24"/>
                <w:lang w:val="en-US" w:eastAsia="zh-CN"/>
              </w:rPr>
              <w:t>指导武冈市加快推进公职律师工作，推荐省内优秀律师担任当地党委政府法律顾问，通过健全机制、加强培训、培育典型等方式，促进法律顾问和公职律师发挥作</w:t>
            </w:r>
            <w:r>
              <w:rPr>
                <w:rFonts w:hint="eastAsia" w:ascii="仿宋_GB2312" w:eastAsia="仿宋_GB2312"/>
                <w:sz w:val="24"/>
                <w:szCs w:val="24"/>
                <w:lang w:val="en-US" w:eastAsia="zh-CN"/>
              </w:rPr>
              <w:t>用</w:t>
            </w:r>
            <w:r>
              <w:rPr>
                <w:rFonts w:hint="eastAsia" w:ascii="仿宋_GB2312" w:hAnsi="Times New Roman" w:eastAsia="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w:t>
            </w:r>
            <w:r>
              <w:rPr>
                <w:rFonts w:hint="eastAsia" w:ascii="仿宋_GB2312" w:hAnsi="Times New Roman" w:eastAsia="仿宋_GB2312"/>
                <w:sz w:val="24"/>
                <w:szCs w:val="24"/>
                <w:lang w:val="en-US" w:eastAsia="zh-CN"/>
              </w:rPr>
              <w:t>.开展律师和基层法律服务工作者培训，引导律师资源丰富地区为武冈市重大项目、重要产业链和“五好园区”建设提供专项法律服务，指导武冈市推进“万所联万会”和民营企业“法治体检”活动。</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厅律师处</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6</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联合厅律师处调度安排部分律师组建信访值班志愿团队，采取线上与线下相结合方式，与武冈市当地律师共同做实做细信访值班和矛盾化解工作。所需律师值班补贴从省直政法部门律师信访值班专项补助经费中列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2.从省律协公益基金中安排5万元，支持武冈市乡村振兴点公共法律服务站点建设。组织与武冈市邓元泰镇黄茅村基层党组织联合开展主题党日活动，推进基层公共法律服务站点帮扶共建工作。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0" w:firstLineChars="100"/>
              <w:jc w:val="both"/>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3.从省律协民专委、法顾委、公司委、农村委等专业委员会抽调骨干律师，组队定期赴武冈市开展专项“法治体检”活动。</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省律师协会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7</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eastAsia="仿宋_GB2312"/>
                <w:sz w:val="24"/>
                <w:szCs w:val="24"/>
                <w:lang w:val="en-US" w:eastAsia="zh-CN"/>
              </w:rPr>
            </w:pPr>
            <w:r>
              <w:rPr>
                <w:rFonts w:hint="eastAsia" w:ascii="仿宋_GB2312" w:eastAsia="仿宋_GB2312"/>
                <w:sz w:val="24"/>
                <w:szCs w:val="24"/>
                <w:lang w:eastAsia="zh-CN"/>
              </w:rPr>
              <w:t>授予“湖南省司法厅基层立法联系点”，指导完成基层立法联系点的日常工作。为其提供每年</w:t>
            </w:r>
            <w:r>
              <w:rPr>
                <w:rFonts w:hint="eastAsia" w:ascii="仿宋_GB2312" w:eastAsia="仿宋_GB2312"/>
                <w:sz w:val="24"/>
                <w:szCs w:val="24"/>
                <w:lang w:val="en-US" w:eastAsia="zh-CN"/>
              </w:rPr>
              <w:t>5万元的资金保障。</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立法二处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8</w:t>
            </w:r>
          </w:p>
        </w:tc>
        <w:tc>
          <w:tcPr>
            <w:tcW w:w="6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指导开展禁毒宣传教育活动，通过派出志愿服务队伍、结对共建等方式，推动禁毒宣传进乡镇、进社区、进学校、进企业、进农村。</w:t>
            </w: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heme="majorEastAsia" w:hAnsiTheme="majorEastAsia" w:eastAsiaTheme="majorEastAsia"/>
                <w:b/>
                <w:bCs/>
                <w:sz w:val="22"/>
                <w:szCs w:val="22"/>
                <w:vertAlign w:val="baseline"/>
                <w:lang w:val="en-US" w:eastAsia="zh-CN"/>
              </w:rPr>
            </w:pPr>
            <w:r>
              <w:rPr>
                <w:rFonts w:hint="eastAsia" w:asciiTheme="majorEastAsia" w:hAnsiTheme="majorEastAsia" w:eastAsiaTheme="majorEastAsia"/>
                <w:b/>
                <w:bCs/>
                <w:sz w:val="22"/>
                <w:szCs w:val="22"/>
                <w:vertAlign w:val="baseline"/>
                <w:lang w:val="en-US" w:eastAsia="zh-CN"/>
              </w:rPr>
              <w:t>省戒毒局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_GB2312" w:eastAsia="仿宋_GB2312"/>
          <w:sz w:val="28"/>
          <w:szCs w:val="28"/>
          <w:lang w:val="en-US" w:eastAsia="zh-CN"/>
        </w:rPr>
      </w:pPr>
      <w:r>
        <w:rPr>
          <w:rFonts w:hint="eastAsia" w:asciiTheme="majorEastAsia" w:hAnsiTheme="majorEastAsia" w:eastAsiaTheme="majorEastAsia"/>
          <w:b/>
          <w:bCs/>
          <w:sz w:val="28"/>
          <w:szCs w:val="28"/>
          <w:lang w:val="en-US" w:eastAsia="zh-CN"/>
        </w:rPr>
        <w:t>注：</w:t>
      </w:r>
      <w:r>
        <w:rPr>
          <w:rFonts w:hint="eastAsia" w:ascii="仿宋_GB2312" w:eastAsia="仿宋_GB2312"/>
          <w:sz w:val="28"/>
          <w:szCs w:val="28"/>
          <w:lang w:val="en-US" w:eastAsia="zh-CN"/>
        </w:rPr>
        <w:t>帮扶单位、处室要认真围绕以上清单，丰富工作载体，细化工作措施，10月底前组织或指导武冈市开展1次以上工作，确保取得实效。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eastAsia="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_GB2312" w:eastAsia="仿宋_GB2312"/>
          <w:sz w:val="28"/>
          <w:szCs w:val="28"/>
          <w:lang w:val="en-US" w:eastAsia="zh-CN"/>
        </w:rPr>
      </w:pPr>
    </w:p>
    <w:p>
      <w:bookmarkStart w:id="0" w:name="_GoBack"/>
      <w:bookmarkEnd w:id="0"/>
    </w:p>
    <w:sectPr>
      <w:footerReference r:id="rId5" w:type="default"/>
      <w:pgSz w:w="11906" w:h="16838"/>
      <w:pgMar w:top="1984" w:right="1701" w:bottom="1417"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80"/>
      </w:pPr>
      <w:r>
        <w:separator/>
      </w:r>
    </w:p>
  </w:endnote>
  <w:endnote w:type="continuationSeparator" w:id="1">
    <w:p>
      <w:pPr>
        <w:spacing w:line="240" w:lineRule="auto"/>
        <w:ind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480"/>
      </w:pPr>
      <w:r>
        <w:separator/>
      </w:r>
    </w:p>
  </w:footnote>
  <w:footnote w:type="continuationSeparator" w:id="1">
    <w:p>
      <w:pPr>
        <w:spacing w:line="360" w:lineRule="auto"/>
        <w:ind w:hanging="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jJkZjdhNmQ0OGI5M2ExYmY0MzFlY2ZhYzMyYmMifQ=="/>
  </w:docVars>
  <w:rsids>
    <w:rsidRoot w:val="181F6511"/>
    <w:rsid w:val="181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723" w:hanging="723" w:hangingChars="200"/>
    </w:pPr>
    <w:rPr>
      <w:rFonts w:ascii="Times New Roman" w:hAnsi="Times New Roman" w:eastAsia="宋体" w:cstheme="minorBidi"/>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2022-11-08T09:20:00Z</dcterms:created>
  <dc:creator>孙刚</dc:creator>
  <cp:lastModifiedBy>孙刚</cp:lastModifiedBy>
  <dcterms:modified xsi:type="dcterms:W3CDTF">2022-11-08T09:20:34Z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91084B324AC447028D97F49B16D362AD</vt:lpwstr>
  </property>
</Properties>
</file>